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A272CB" w:rsidRDefault="00714F80" w:rsidP="00714F8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Κανονισμός Κινητικότητας Φοιτητών Π.Μ.Σ. «Αποκατάσταση Βλαβών Νωτιαίου Μυελού. Διαχείριση του Πόνου Σπονδυλικής Προέλευσης»</w:t>
      </w:r>
    </w:p>
    <w:p w:rsidR="00A272CB" w:rsidRDefault="00A272C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9323FF" w:rsidRPr="00EF6793" w:rsidRDefault="00714F80" w:rsidP="009323FF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lastRenderedPageBreak/>
        <w:t>Ο Κανονισμός Κιν</w:t>
      </w:r>
      <w:r w:rsidR="00665736">
        <w:t>ητικότητας φοιτητών/τριών</w:t>
      </w:r>
      <w:r>
        <w:t xml:space="preserve"> του ΠΜΣ </w:t>
      </w:r>
      <w:r w:rsidRPr="00714F80">
        <w:rPr>
          <w:bCs/>
        </w:rPr>
        <w:t>«Αποκατάσταση Βλαβών Νωτιαίου Μυελού. Διαχείριση του Πόνου Σπονδυλικής Προέλευσης»</w:t>
      </w:r>
      <w:r>
        <w:rPr>
          <w:bCs/>
        </w:rPr>
        <w:t xml:space="preserve"> </w:t>
      </w:r>
      <w:r w:rsidR="009323FF" w:rsidRPr="00EF6793">
        <w:rPr>
          <w:rFonts w:asciiTheme="minorHAnsi" w:hAnsiTheme="minorHAnsi" w:cstheme="minorHAnsi"/>
        </w:rPr>
        <w:t xml:space="preserve">αποτελεί αναπόσπαστο μέρος του Κανονισμού Προγράμματος Μεταπτυχιακών Σπουδών του Π.Μ.Σ. και περιλαμβάνεται σε αυτόν. </w:t>
      </w:r>
    </w:p>
    <w:p w:rsidR="009323FF" w:rsidRPr="00EF6793" w:rsidRDefault="009323FF" w:rsidP="009323F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4F80" w:rsidRDefault="009323FF" w:rsidP="00D95EEA">
      <w:pPr>
        <w:ind w:left="-142"/>
        <w:jc w:val="both"/>
      </w:pPr>
      <w:r w:rsidRPr="00EF6793">
        <w:rPr>
          <w:rFonts w:asciiTheme="minorHAnsi" w:hAnsiTheme="minorHAnsi" w:cstheme="minorHAnsi"/>
        </w:rPr>
        <w:t xml:space="preserve">Ο Κανονισμός Προγράμματος Μεταπτυχιακών Σπουδών του Π.Μ.Σ. «Αποκατάσταση Βλαβών Νωτιαίου Μυελού. Διαχείριση του Πόνου Σπονδυλικής Προέλευσης» συνυποβάλλεται ως το Παράρτημα με αριθμό Α.12.  </w:t>
      </w:r>
      <w:r w:rsidR="00714F80">
        <w:t>Το παρόν κείμενο αποτελεί απόσπασμα του Γενικού Κανονισμού Λειτουργίας και εξειδικεύει τα σημεία που αφορούν στην κινητικότητα από το άρθρο 10</w:t>
      </w:r>
      <w:r w:rsidR="00D95EEA" w:rsidRPr="00D95EEA">
        <w:t xml:space="preserve">, </w:t>
      </w:r>
      <w:r w:rsidR="00714F80">
        <w:t>7</w:t>
      </w:r>
      <w:r w:rsidR="00D95EEA" w:rsidRPr="00D95EEA">
        <w:t xml:space="preserve"> </w:t>
      </w:r>
      <w:r w:rsidR="00D95EEA">
        <w:t xml:space="preserve">και </w:t>
      </w:r>
      <w:r w:rsidR="00714F80">
        <w:t>9.</w:t>
      </w:r>
    </w:p>
    <w:p w:rsidR="00D95EEA" w:rsidRPr="00EF6793" w:rsidRDefault="00D95EEA" w:rsidP="00D95EEA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  <w:r w:rsidRPr="00EF6793">
        <w:rPr>
          <w:rFonts w:asciiTheme="minorHAnsi" w:hAnsiTheme="minorHAnsi" w:cstheme="minorHAnsi"/>
          <w:b/>
        </w:rPr>
        <w:t>ΑΡΘΡΟ 1</w:t>
      </w:r>
    </w:p>
    <w:p w:rsidR="00D95EEA" w:rsidRPr="00D95EEA" w:rsidRDefault="00D95EEA" w:rsidP="00D95EEA">
      <w:pPr>
        <w:pStyle w:val="a3"/>
        <w:tabs>
          <w:tab w:val="left" w:pos="461"/>
          <w:tab w:val="left" w:pos="530"/>
        </w:tabs>
        <w:kinsoku w:val="0"/>
        <w:overflowPunct w:val="0"/>
        <w:spacing w:line="240" w:lineRule="auto"/>
        <w:ind w:left="-142" w:right="-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95EEA">
        <w:rPr>
          <w:rStyle w:val="2"/>
          <w:rFonts w:asciiTheme="minorHAnsi" w:hAnsiTheme="minorHAnsi" w:cstheme="minorHAnsi"/>
          <w:sz w:val="22"/>
          <w:szCs w:val="22"/>
          <w:lang w:val="el-GR"/>
        </w:rPr>
        <w:t>Οι φοιτητές/</w:t>
      </w:r>
      <w:proofErr w:type="spellStart"/>
      <w:r w:rsidRPr="00D95EEA">
        <w:rPr>
          <w:rStyle w:val="2"/>
          <w:rFonts w:asciiTheme="minorHAnsi" w:hAnsiTheme="minorHAnsi" w:cstheme="minorHAnsi"/>
          <w:sz w:val="22"/>
          <w:szCs w:val="22"/>
          <w:lang w:val="el-GR"/>
        </w:rPr>
        <w:t>τριες</w:t>
      </w:r>
      <w:proofErr w:type="spellEnd"/>
      <w:r w:rsidRPr="00D95EEA">
        <w:rPr>
          <w:rStyle w:val="2"/>
          <w:rFonts w:asciiTheme="minorHAnsi" w:hAnsiTheme="minorHAnsi" w:cstheme="minorHAnsi"/>
          <w:sz w:val="22"/>
          <w:szCs w:val="22"/>
          <w:lang w:val="el-GR"/>
        </w:rPr>
        <w:t xml:space="preserve"> μπορούν να συμμετέχουν σε διεθνή προγράμματα ανταλλαγής φοιτητών/τριών, όπως το πρόγραμμα ERASMUS+ ή CIVIS, κατά την κείμενη νομοθεσία. Στην περίπτωση αυτή, ο μέγιστος αριθμός ECTS που μπορούν να αναγνωρίσουν είναι τριάντα (30). </w:t>
      </w:r>
      <w:r w:rsidRPr="00D95EEA">
        <w:rPr>
          <w:rFonts w:asciiTheme="minorHAnsi" w:hAnsiTheme="minorHAnsi" w:cstheme="minorHAnsi"/>
          <w:sz w:val="22"/>
          <w:szCs w:val="22"/>
          <w:lang w:val="el-GR"/>
        </w:rPr>
        <w:t xml:space="preserve">Η δυνατότητα αυτή παρέχεται μετά το </w:t>
      </w:r>
      <w:proofErr w:type="spellStart"/>
      <w:r w:rsidRPr="00D95EEA">
        <w:rPr>
          <w:rFonts w:asciiTheme="minorHAnsi" w:hAnsiTheme="minorHAnsi" w:cstheme="minorHAnsi"/>
          <w:sz w:val="22"/>
          <w:szCs w:val="22"/>
          <w:lang w:val="el-GR"/>
        </w:rPr>
        <w:t>Α΄εξάμηνο</w:t>
      </w:r>
      <w:proofErr w:type="spellEnd"/>
      <w:r w:rsidRPr="00D95EEA">
        <w:rPr>
          <w:rFonts w:asciiTheme="minorHAnsi" w:hAnsiTheme="minorHAnsi" w:cstheme="minorHAnsi"/>
          <w:sz w:val="22"/>
          <w:szCs w:val="22"/>
          <w:lang w:val="el-GR"/>
        </w:rPr>
        <w:t xml:space="preserve"> σπουδών τους. Οι φοιτητές/</w:t>
      </w:r>
      <w:proofErr w:type="spellStart"/>
      <w:r w:rsidRPr="00D95EEA">
        <w:rPr>
          <w:rFonts w:asciiTheme="minorHAnsi" w:hAnsiTheme="minorHAnsi" w:cstheme="minorHAnsi"/>
          <w:sz w:val="22"/>
          <w:szCs w:val="22"/>
          <w:lang w:val="el-GR"/>
        </w:rPr>
        <w:t>τριες</w:t>
      </w:r>
      <w:proofErr w:type="spellEnd"/>
      <w:r w:rsidRPr="00D95EEA">
        <w:rPr>
          <w:rFonts w:asciiTheme="minorHAnsi" w:hAnsiTheme="minorHAnsi" w:cstheme="minorHAnsi"/>
          <w:sz w:val="22"/>
          <w:szCs w:val="22"/>
          <w:lang w:val="el-GR"/>
        </w:rPr>
        <w:t xml:space="preserve"> θα πρέπει να κάνουν αίτηση προς τη Σ.Ε. και να ακολουθήσουν τους όρους του προγράμματος.</w:t>
      </w:r>
    </w:p>
    <w:p w:rsidR="00D95EEA" w:rsidRPr="00EF6793" w:rsidRDefault="00D95EEA" w:rsidP="00D95EEA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ΑΡΘΡΟ 2</w:t>
      </w:r>
    </w:p>
    <w:p w:rsidR="00714F80" w:rsidRDefault="00714F80" w:rsidP="00714F80">
      <w:pPr>
        <w:tabs>
          <w:tab w:val="left" w:pos="461"/>
          <w:tab w:val="left" w:pos="530"/>
        </w:tabs>
        <w:kinsoku w:val="0"/>
        <w:overflowPunct w:val="0"/>
        <w:spacing w:after="120" w:line="240" w:lineRule="auto"/>
        <w:ind w:left="-142" w:right="-54"/>
        <w:jc w:val="both"/>
        <w:rPr>
          <w:rFonts w:cs="Calibri"/>
          <w:lang w:eastAsia="en-US"/>
        </w:rPr>
      </w:pPr>
      <w:r w:rsidRPr="00714F80">
        <w:rPr>
          <w:rFonts w:cs="Calibri"/>
          <w:lang w:eastAsia="en-US"/>
        </w:rPr>
        <w:t>Το Π.Μ.Σ. μπορούν να το παρακολουθήσουν και φοιτητές/</w:t>
      </w:r>
      <w:proofErr w:type="spellStart"/>
      <w:r w:rsidRPr="00714F80">
        <w:rPr>
          <w:rFonts w:cs="Calibri"/>
          <w:lang w:eastAsia="en-US"/>
        </w:rPr>
        <w:t>τριες</w:t>
      </w:r>
      <w:proofErr w:type="spellEnd"/>
      <w:r w:rsidRPr="00714F80">
        <w:rPr>
          <w:rFonts w:cs="Calibri"/>
          <w:lang w:eastAsia="en-US"/>
        </w:rPr>
        <w:t xml:space="preserve"> από διεθνή προγράμματα ανταλλαγής φοιτητών/τριών, όπως το πρόγραμμα ERASMUS+, σύμφωνα με τις συναφθείσες συνεργασίες.</w:t>
      </w:r>
    </w:p>
    <w:p w:rsidR="00D95EEA" w:rsidRPr="00EF6793" w:rsidRDefault="00D95EEA" w:rsidP="00D95EEA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ΑΡΘΡΟ 3</w:t>
      </w:r>
    </w:p>
    <w:p w:rsidR="00714F80" w:rsidRDefault="00714F80" w:rsidP="00714F80">
      <w:pPr>
        <w:spacing w:after="120" w:line="240" w:lineRule="auto"/>
        <w:ind w:left="-142"/>
        <w:jc w:val="both"/>
        <w:rPr>
          <w:rFonts w:eastAsia="Malgun Gothic Semilight" w:cs="Calibri"/>
        </w:rPr>
      </w:pPr>
      <w:r w:rsidRPr="00714F80">
        <w:rPr>
          <w:rFonts w:cs="Calibri"/>
        </w:rPr>
        <w:t>Οι μεταπτυχιακοί/</w:t>
      </w:r>
      <w:proofErr w:type="spellStart"/>
      <w:r w:rsidRPr="00714F80">
        <w:rPr>
          <w:rFonts w:cs="Calibri"/>
        </w:rPr>
        <w:t>ές</w:t>
      </w:r>
      <w:proofErr w:type="spellEnd"/>
      <w:r w:rsidRPr="00714F80">
        <w:rPr>
          <w:rFonts w:cs="Calibri"/>
        </w:rPr>
        <w:t xml:space="preserve"> </w:t>
      </w:r>
      <w:r w:rsidRPr="00714F80">
        <w:rPr>
          <w:rFonts w:eastAsia="Malgun Gothic Semilight" w:cs="Calibri"/>
        </w:rPr>
        <w:t>φοιτητ</w:t>
      </w:r>
      <w:r w:rsidRPr="00714F80">
        <w:rPr>
          <w:rFonts w:cs="Calibri"/>
        </w:rPr>
        <w:t>ές/</w:t>
      </w:r>
      <w:proofErr w:type="spellStart"/>
      <w:r w:rsidRPr="00714F80">
        <w:rPr>
          <w:rFonts w:cs="Calibri"/>
        </w:rPr>
        <w:t>τριες</w:t>
      </w:r>
      <w:proofErr w:type="spellEnd"/>
      <w:r w:rsidRPr="00714F80">
        <w:rPr>
          <w:rFonts w:cs="Calibri"/>
        </w:rPr>
        <w:t xml:space="preserve"> του Ε.Κ.Π.Α., δύναται</w:t>
      </w:r>
      <w:r w:rsidRPr="00714F80">
        <w:rPr>
          <w:rFonts w:eastAsia="Malgun Gothic Semilight" w:cs="Calibri"/>
        </w:rPr>
        <w:t xml:space="preserve"> να εγγραφούν σε Π.Μ.Σ. του ιδίου ή άλλων Α.Ε.Ι. της ημεδαπής ή της αλλοδαπής στο πλαίσιο εκπαιδευτικών ή ερευνητικών προγραμμάτων συνεργασίας σύμφωνα με την ισχύουσα νομοθεσία.</w:t>
      </w:r>
    </w:p>
    <w:p w:rsidR="00D95EEA" w:rsidRPr="00EF6793" w:rsidRDefault="00D95EEA" w:rsidP="00D95EEA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ΑΡΘΡΟ 4</w:t>
      </w:r>
    </w:p>
    <w:p w:rsidR="00714F80" w:rsidRPr="00714F80" w:rsidRDefault="00714F80" w:rsidP="00714F80">
      <w:pPr>
        <w:tabs>
          <w:tab w:val="left" w:pos="521"/>
        </w:tabs>
        <w:kinsoku w:val="0"/>
        <w:overflowPunct w:val="0"/>
        <w:spacing w:after="120" w:line="240" w:lineRule="auto"/>
        <w:ind w:left="-142" w:right="-57"/>
        <w:jc w:val="both"/>
        <w:rPr>
          <w:rFonts w:cs="Calibri"/>
          <w:highlight w:val="yellow"/>
          <w:lang w:eastAsia="en-US"/>
        </w:rPr>
      </w:pPr>
      <w:r w:rsidRPr="00714F80">
        <w:rPr>
          <w:rFonts w:cs="Calibri"/>
          <w:lang w:eastAsia="en-US"/>
        </w:rPr>
        <w:t>Είναι δυνατή η παράλληλη φοίτηση σε προπτυχιακό πρόγραμμα σπουδών και σε μεταπτυχιακό πρόγραμμα σπουδών, με την προϋπόθεση ότι ο/η υποψήφιο/</w:t>
      </w:r>
      <w:proofErr w:type="spellStart"/>
      <w:r w:rsidRPr="00714F80">
        <w:rPr>
          <w:rFonts w:cs="Calibri"/>
          <w:lang w:eastAsia="en-US"/>
        </w:rPr>
        <w:t>ια</w:t>
      </w:r>
      <w:proofErr w:type="spellEnd"/>
      <w:r w:rsidRPr="00714F80">
        <w:rPr>
          <w:rFonts w:cs="Calibri"/>
          <w:lang w:eastAsia="en-US"/>
        </w:rPr>
        <w:t xml:space="preserve"> φοιτητής/</w:t>
      </w:r>
      <w:proofErr w:type="spellStart"/>
      <w:r w:rsidRPr="00714F80">
        <w:rPr>
          <w:rFonts w:cs="Calibri"/>
          <w:lang w:eastAsia="en-US"/>
        </w:rPr>
        <w:t>τρια</w:t>
      </w:r>
      <w:proofErr w:type="spellEnd"/>
      <w:r w:rsidRPr="00714F80">
        <w:rPr>
          <w:rFonts w:cs="Calibri"/>
          <w:lang w:eastAsia="en-US"/>
        </w:rPr>
        <w:t xml:space="preserve"> παρακολουθεί προπτυχιακό 2</w:t>
      </w:r>
      <w:r w:rsidRPr="00714F80">
        <w:rPr>
          <w:rFonts w:cs="Calibri"/>
          <w:vertAlign w:val="superscript"/>
          <w:lang w:eastAsia="en-US"/>
        </w:rPr>
        <w:t>ου</w:t>
      </w:r>
      <w:r w:rsidRPr="00714F80">
        <w:rPr>
          <w:rFonts w:cs="Calibri"/>
          <w:lang w:eastAsia="en-US"/>
        </w:rPr>
        <w:t xml:space="preserve"> </w:t>
      </w:r>
      <w:proofErr w:type="spellStart"/>
      <w:r w:rsidRPr="00714F80">
        <w:rPr>
          <w:rFonts w:cs="Calibri"/>
          <w:lang w:eastAsia="en-US"/>
        </w:rPr>
        <w:t>πτυχιου</w:t>
      </w:r>
      <w:proofErr w:type="spellEnd"/>
      <w:r w:rsidRPr="00714F80">
        <w:rPr>
          <w:rFonts w:cs="Calibri"/>
          <w:lang w:eastAsia="en-US"/>
        </w:rPr>
        <w:t>, ή σε δύο (2) Προγράμματα Μεταπτυχιακών Σπουδών του ίδιου ή άλλου Τμήματος, του ίδιου ή άλλου Α.Ε.Ι..</w:t>
      </w:r>
    </w:p>
    <w:p w:rsidR="00D95EEA" w:rsidRPr="00EF6793" w:rsidRDefault="00D95EEA" w:rsidP="00D95EEA">
      <w:pPr>
        <w:tabs>
          <w:tab w:val="left" w:pos="5954"/>
          <w:tab w:val="left" w:pos="6237"/>
        </w:tabs>
        <w:spacing w:after="120" w:line="240" w:lineRule="auto"/>
        <w:ind w:left="-142"/>
        <w:jc w:val="center"/>
        <w:rPr>
          <w:rStyle w:val="2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ΑΡΘΡΟ 5</w:t>
      </w:r>
    </w:p>
    <w:p w:rsidR="00714F80" w:rsidRPr="00714F80" w:rsidRDefault="00714F80" w:rsidP="00714F80">
      <w:pPr>
        <w:tabs>
          <w:tab w:val="left" w:pos="529"/>
        </w:tabs>
        <w:kinsoku w:val="0"/>
        <w:overflowPunct w:val="0"/>
        <w:spacing w:after="120" w:line="240" w:lineRule="auto"/>
        <w:ind w:left="-142" w:right="-57"/>
        <w:jc w:val="both"/>
        <w:rPr>
          <w:rFonts w:cs="Calibri"/>
          <w:lang w:eastAsia="en-US" w:bidi="el-GR"/>
        </w:rPr>
      </w:pPr>
      <w:r w:rsidRPr="00714F80">
        <w:rPr>
          <w:rFonts w:cs="Calibri"/>
          <w:lang w:eastAsia="en-US"/>
        </w:rPr>
        <w:t xml:space="preserve">Οι μεταπτυχιακοί </w:t>
      </w:r>
      <w:r w:rsidRPr="00714F80">
        <w:rPr>
          <w:rFonts w:eastAsia="Malgun Gothic Semilight" w:cs="Calibri"/>
          <w:lang w:eastAsia="en-US"/>
        </w:rPr>
        <w:t>φοιτητ</w:t>
      </w:r>
      <w:r w:rsidRPr="00714F80">
        <w:rPr>
          <w:rFonts w:cs="Calibri"/>
          <w:lang w:eastAsia="en-US"/>
        </w:rPr>
        <w:t xml:space="preserve">ές </w:t>
      </w:r>
      <w:r w:rsidRPr="00714F80">
        <w:rPr>
          <w:rFonts w:eastAsia="Malgun Gothic Semilight" w:cs="Calibri"/>
          <w:lang w:eastAsia="en-US"/>
        </w:rPr>
        <w:t>μπορο</w:t>
      </w:r>
      <w:r w:rsidRPr="00714F80">
        <w:rPr>
          <w:rFonts w:cs="Calibri"/>
          <w:lang w:eastAsia="en-US"/>
        </w:rPr>
        <w:t>ύ</w:t>
      </w:r>
      <w:r w:rsidRPr="00714F80">
        <w:rPr>
          <w:rFonts w:eastAsia="Malgun Gothic Semilight" w:cs="Calibri"/>
          <w:lang w:eastAsia="en-US"/>
        </w:rPr>
        <w:t>ν να αιτηθο</w:t>
      </w:r>
      <w:r w:rsidRPr="00714F80">
        <w:rPr>
          <w:rFonts w:cs="Calibri"/>
          <w:lang w:eastAsia="en-US"/>
        </w:rPr>
        <w:t>ύ</w:t>
      </w:r>
      <w:r w:rsidRPr="00714F80">
        <w:rPr>
          <w:rFonts w:eastAsia="Malgun Gothic Semilight" w:cs="Calibri"/>
          <w:lang w:eastAsia="en-US"/>
        </w:rPr>
        <w:t>ν την</w:t>
      </w:r>
      <w:r w:rsidRPr="00714F80">
        <w:rPr>
          <w:rFonts w:cs="Calibri"/>
          <w:lang w:eastAsia="en-US"/>
        </w:rPr>
        <w:t xml:space="preserve"> έ</w:t>
      </w:r>
      <w:r w:rsidRPr="00714F80">
        <w:rPr>
          <w:rFonts w:eastAsia="Malgun Gothic Semilight" w:cs="Calibri"/>
          <w:lang w:eastAsia="en-US"/>
        </w:rPr>
        <w:t>κδοση παραρτ</w:t>
      </w:r>
      <w:r w:rsidRPr="00714F80">
        <w:rPr>
          <w:rFonts w:cs="Calibri"/>
          <w:lang w:eastAsia="en-US"/>
        </w:rPr>
        <w:t>ή</w:t>
      </w:r>
      <w:r w:rsidRPr="00714F80">
        <w:rPr>
          <w:rFonts w:eastAsia="Malgun Gothic Semilight" w:cs="Calibri"/>
          <w:lang w:eastAsia="en-US"/>
        </w:rPr>
        <w:t>ματο</w:t>
      </w:r>
      <w:r w:rsidRPr="00714F80">
        <w:rPr>
          <w:rFonts w:cs="Calibri"/>
          <w:lang w:eastAsia="en-US"/>
        </w:rPr>
        <w:t xml:space="preserve">ς </w:t>
      </w:r>
      <w:r w:rsidRPr="00714F80">
        <w:rPr>
          <w:rFonts w:eastAsia="Malgun Gothic Semilight" w:cs="Calibri"/>
          <w:lang w:eastAsia="en-US"/>
        </w:rPr>
        <w:t>διπλ</w:t>
      </w:r>
      <w:r w:rsidRPr="00714F80">
        <w:rPr>
          <w:rFonts w:cs="Calibri"/>
          <w:lang w:eastAsia="en-US"/>
        </w:rPr>
        <w:t>ώ</w:t>
      </w:r>
      <w:r w:rsidRPr="00714F80">
        <w:rPr>
          <w:rFonts w:eastAsia="Malgun Gothic Semilight" w:cs="Calibri"/>
          <w:lang w:eastAsia="en-US"/>
        </w:rPr>
        <w:t>ματο</w:t>
      </w:r>
      <w:r w:rsidRPr="00714F80">
        <w:rPr>
          <w:rFonts w:cs="Calibri"/>
          <w:lang w:eastAsia="en-US"/>
        </w:rPr>
        <w:t>ς</w:t>
      </w:r>
      <w:r w:rsidRPr="00714F80">
        <w:rPr>
          <w:rFonts w:cs="Calibri"/>
          <w:lang w:eastAsia="en-US" w:bidi="el-GR"/>
        </w:rPr>
        <w:t xml:space="preserve"> στην ελληνική και την αγγλική γλώσσα.</w:t>
      </w:r>
    </w:p>
    <w:p w:rsidR="00714F80" w:rsidRPr="0022717F" w:rsidRDefault="00714F80" w:rsidP="00714F80">
      <w:pPr>
        <w:jc w:val="center"/>
        <w:rPr>
          <w:sz w:val="44"/>
          <w:szCs w:val="44"/>
        </w:rPr>
      </w:pPr>
    </w:p>
    <w:p w:rsidR="00054CAC" w:rsidRDefault="00054CAC"/>
    <w:sectPr w:rsidR="00054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0"/>
    <w:rsid w:val="00054CAC"/>
    <w:rsid w:val="001E5413"/>
    <w:rsid w:val="0026257F"/>
    <w:rsid w:val="00665736"/>
    <w:rsid w:val="00714F80"/>
    <w:rsid w:val="009323FF"/>
    <w:rsid w:val="00A272CB"/>
    <w:rsid w:val="00A66ED4"/>
    <w:rsid w:val="00C74D65"/>
    <w:rsid w:val="00D177DD"/>
    <w:rsid w:val="00D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C940-E877-4573-A1FC-BAE3C8A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80"/>
    <w:rPr>
      <w:rFonts w:ascii="Calibri" w:eastAsia="Calibri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link w:val="20"/>
    <w:rsid w:val="00D95EE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D95EEA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3">
    <w:name w:val="Body Text"/>
    <w:basedOn w:val="a"/>
    <w:link w:val="Char"/>
    <w:uiPriority w:val="99"/>
    <w:unhideWhenUsed/>
    <w:rsid w:val="00D95EEA"/>
    <w:pPr>
      <w:spacing w:after="120" w:line="256" w:lineRule="auto"/>
    </w:pPr>
    <w:rPr>
      <w:sz w:val="20"/>
      <w:szCs w:val="20"/>
      <w:lang w:val="x-none" w:eastAsia="en-US"/>
    </w:rPr>
  </w:style>
  <w:style w:type="character" w:customStyle="1" w:styleId="Char">
    <w:name w:val="Σώμα κειμένου Char"/>
    <w:basedOn w:val="a0"/>
    <w:link w:val="a3"/>
    <w:uiPriority w:val="99"/>
    <w:rsid w:val="00D95EE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evangelopoulos</dc:creator>
  <cp:keywords/>
  <dc:description/>
  <cp:lastModifiedBy>Aliki Stavropoulou</cp:lastModifiedBy>
  <cp:revision>4</cp:revision>
  <dcterms:created xsi:type="dcterms:W3CDTF">2023-12-01T09:50:00Z</dcterms:created>
  <dcterms:modified xsi:type="dcterms:W3CDTF">2023-12-01T12:28:00Z</dcterms:modified>
</cp:coreProperties>
</file>